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76D49391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A332AF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8D7DFF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14212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 xml:space="preserve">Стороны гарантируют полную конфиденциальность при исполнении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16</cp:revision>
  <dcterms:created xsi:type="dcterms:W3CDTF">2020-06-15T02:37:00Z</dcterms:created>
  <dcterms:modified xsi:type="dcterms:W3CDTF">2021-05-12T06:17:00Z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